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73DC67CC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>Umkehrlüfter – Dezentrales Lüftungsgerät mit Wärmerückgewinnung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37805748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 xml:space="preserve">LU160 </w:t>
      </w:r>
      <w:r w:rsidR="00182FB2">
        <w:rPr>
          <w:rFonts w:ascii="Exo 2" w:hAnsi="Exo 2"/>
          <w:b/>
          <w:bCs/>
          <w:sz w:val="22"/>
          <w:szCs w:val="22"/>
        </w:rPr>
        <w:t>Dual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559421F0" w14:textId="3B7A0A11" w:rsidR="00776EFA" w:rsidRPr="00035725" w:rsidRDefault="00776EFA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 xml:space="preserve">Dezentrales, regeneratives Lüftungsgerät mit Wärmerückgewinnung zur kontrollierten Be- und Entlüftung. Für den Neubau und Sanierung. Die Installation erfolgt in der Außenwand ohne zusätzliche Luftkanäle. Hocheffiziente Wärmerückgewinnung dank </w:t>
      </w:r>
      <w:r w:rsidR="00182FB2">
        <w:rPr>
          <w:rFonts w:ascii="Exo 2" w:hAnsi="Exo 2"/>
          <w:sz w:val="20"/>
          <w:szCs w:val="20"/>
        </w:rPr>
        <w:t>zweier</w:t>
      </w:r>
      <w:r w:rsidRPr="00035725">
        <w:rPr>
          <w:rFonts w:ascii="Exo 2" w:hAnsi="Exo 2"/>
          <w:sz w:val="20"/>
          <w:szCs w:val="20"/>
        </w:rPr>
        <w:t xml:space="preserve"> Keramikspeicher mit hexagonaler Wabenstruktur. </w:t>
      </w:r>
      <w:r w:rsidR="001352E9">
        <w:rPr>
          <w:rFonts w:ascii="Exo 2" w:hAnsi="Exo 2"/>
          <w:sz w:val="20"/>
          <w:szCs w:val="20"/>
        </w:rPr>
        <w:t>Die</w:t>
      </w:r>
      <w:r w:rsidRPr="00035725">
        <w:rPr>
          <w:rFonts w:ascii="Exo 2" w:hAnsi="Exo 2"/>
          <w:sz w:val="20"/>
          <w:szCs w:val="20"/>
        </w:rPr>
        <w:t xml:space="preserve"> integrierte</w:t>
      </w:r>
      <w:r w:rsidR="001352E9">
        <w:rPr>
          <w:rFonts w:ascii="Exo 2" w:hAnsi="Exo 2"/>
          <w:sz w:val="20"/>
          <w:szCs w:val="20"/>
        </w:rPr>
        <w:t>n</w:t>
      </w:r>
      <w:r w:rsidRPr="00035725">
        <w:rPr>
          <w:rFonts w:ascii="Exo 2" w:hAnsi="Exo 2"/>
          <w:sz w:val="20"/>
          <w:szCs w:val="20"/>
        </w:rPr>
        <w:t xml:space="preserve"> prozessorgesteuerte</w:t>
      </w:r>
      <w:r w:rsidR="001352E9">
        <w:rPr>
          <w:rFonts w:ascii="Exo 2" w:hAnsi="Exo 2"/>
          <w:sz w:val="20"/>
          <w:szCs w:val="20"/>
        </w:rPr>
        <w:t>n</w:t>
      </w:r>
      <w:r w:rsidRPr="00035725">
        <w:rPr>
          <w:rFonts w:ascii="Exo 2" w:hAnsi="Exo 2"/>
          <w:sz w:val="20"/>
          <w:szCs w:val="20"/>
        </w:rPr>
        <w:t xml:space="preserve"> EC-Ventilator</w:t>
      </w:r>
      <w:r w:rsidR="001352E9">
        <w:rPr>
          <w:rFonts w:ascii="Exo 2" w:hAnsi="Exo 2"/>
          <w:sz w:val="20"/>
          <w:szCs w:val="20"/>
        </w:rPr>
        <w:t>en</w:t>
      </w:r>
      <w:r w:rsidR="00C66389" w:rsidRPr="00035725">
        <w:rPr>
          <w:rFonts w:ascii="Exo 2" w:hAnsi="Exo 2"/>
          <w:sz w:val="20"/>
          <w:szCs w:val="20"/>
        </w:rPr>
        <w:t xml:space="preserve"> </w:t>
      </w:r>
      <w:r w:rsidR="001352E9">
        <w:rPr>
          <w:rFonts w:ascii="Exo 2" w:hAnsi="Exo 2"/>
          <w:sz w:val="20"/>
          <w:szCs w:val="20"/>
        </w:rPr>
        <w:t>sind</w:t>
      </w:r>
      <w:r w:rsidR="00C66389" w:rsidRPr="00035725">
        <w:rPr>
          <w:rFonts w:ascii="Exo 2" w:hAnsi="Exo 2"/>
          <w:sz w:val="20"/>
          <w:szCs w:val="20"/>
        </w:rPr>
        <w:t xml:space="preserve"> eigens für die LU160-Lüftungsgeräte in Bezug auf Geräuschentwicklung und beidseitiger Laufrichtung geometrisch optimiert.</w:t>
      </w:r>
    </w:p>
    <w:p w14:paraId="7584A129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0FAB6D08" w14:textId="77777777" w:rsidR="00B55C01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Eine schallgedämmte Designabdeckung mit gezielter, geräuschoptimierter Luftstromführung, eine Wetterschutzhaube aus Edelstahl mit Abtropfkante und eine zusätzlich erhältliche DIBt zugelassene Schalldämmausführung sorgen für eine hohe Eigen- und Außenschallreduzierung. Windschutzzubehör, Alternativfilter, Glasinnenblenden und Rohbauträger separat erhältlich.</w:t>
      </w:r>
    </w:p>
    <w:p w14:paraId="155A83AA" w14:textId="7753BCFF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Als Vorbereitungsset, Fertigstellungsset und Komplettset lieferbar.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16AA7785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LU160 </w:t>
      </w:r>
      <w:r w:rsidR="001352E9">
        <w:rPr>
          <w:rFonts w:ascii="Exo 2" w:hAnsi="Exo 2"/>
          <w:b/>
          <w:bCs/>
          <w:sz w:val="22"/>
          <w:szCs w:val="22"/>
        </w:rPr>
        <w:t xml:space="preserve">Dual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1A7E4F99" w14:textId="569F0B09" w:rsidR="00C66389" w:rsidRPr="00035725" w:rsidRDefault="00C66389" w:rsidP="00C66389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Hocheffektiver Keramikwärmespeicher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(2</w:t>
      </w:r>
      <w:r w:rsidR="008E53A7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x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)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schall- und wärmegedämmtes EPP-Gehäuse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(2</w:t>
      </w:r>
      <w:r w:rsidR="008E53A7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x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)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optimierter EC-Reversierventilator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(2</w:t>
      </w:r>
      <w:r w:rsidR="008E53A7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x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)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Schutzgitter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(2</w:t>
      </w:r>
      <w:r w:rsidR="008E53A7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x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)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Vorfilter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(2</w:t>
      </w:r>
      <w:r w:rsidR="008E53A7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x</w:t>
      </w:r>
      <w:proofErr w:type="gramStart"/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)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</w:t>
      </w:r>
      <w:proofErr w:type="gramEnd"/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Innenblende mit G3-Filter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(2</w:t>
      </w:r>
      <w:r w:rsidR="008E53A7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x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)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Wetterschutzhaube, </w:t>
      </w:r>
      <w:proofErr w:type="spellStart"/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Fixrohr</w:t>
      </w:r>
      <w:proofErr w:type="spellEnd"/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(2</w:t>
      </w:r>
      <w:r w:rsidR="008E53A7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x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)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.</w:t>
      </w:r>
    </w:p>
    <w:p w14:paraId="7AC069EF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42ACEF5C" w14:textId="5232718A" w:rsidR="00C66389" w:rsidRPr="00035725" w:rsidRDefault="00C66389" w:rsidP="00C66389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</w:t>
      </w:r>
      <w:r w:rsidR="001352E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n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verschließbar.</w:t>
      </w:r>
    </w:p>
    <w:p w14:paraId="7F6767DF" w14:textId="77777777" w:rsidR="00C66389" w:rsidRPr="00972B20" w:rsidRDefault="00C66389" w:rsidP="00C66389">
      <w:pPr>
        <w:spacing w:before="5" w:after="0" w:line="110" w:lineRule="exact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</w:p>
    <w:p w14:paraId="3D08D2D8" w14:textId="756ECBDA" w:rsidR="00C66389" w:rsidRPr="00035725" w:rsidRDefault="001352E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Ansteuerung erfolgt über einen Basisregler oder eine Toch-Steuerung.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C66389" w:rsidRDefault="00C66389" w:rsidP="00C66389">
      <w:pPr>
        <w:spacing w:before="5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935"/>
      </w:tblGrid>
      <w:tr w:rsidR="00C66389" w14:paraId="1C04D28D" w14:textId="77777777" w:rsidTr="008E53A7">
        <w:tc>
          <w:tcPr>
            <w:tcW w:w="3823" w:type="dxa"/>
          </w:tcPr>
          <w:p w14:paraId="71756281" w14:textId="774BD915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Wärmebereitstellungsgrad:</w:t>
            </w:r>
          </w:p>
        </w:tc>
        <w:tc>
          <w:tcPr>
            <w:tcW w:w="5935" w:type="dxa"/>
          </w:tcPr>
          <w:p w14:paraId="3F50DB96" w14:textId="5D92A10F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bis zu 9</w:t>
            </w:r>
            <w:r w:rsidR="00B55C01">
              <w:rPr>
                <w:rFonts w:ascii="Exo 2" w:hAnsi="Exo 2"/>
                <w:sz w:val="22"/>
                <w:szCs w:val="22"/>
              </w:rPr>
              <w:t>0</w:t>
            </w:r>
            <w:r>
              <w:rPr>
                <w:rFonts w:ascii="Exo 2" w:hAnsi="Exo 2"/>
                <w:sz w:val="22"/>
                <w:szCs w:val="22"/>
              </w:rPr>
              <w:t>%</w:t>
            </w:r>
          </w:p>
        </w:tc>
      </w:tr>
      <w:tr w:rsidR="00C66389" w14:paraId="2C28E6D8" w14:textId="77777777" w:rsidTr="008E53A7">
        <w:tc>
          <w:tcPr>
            <w:tcW w:w="3823" w:type="dxa"/>
          </w:tcPr>
          <w:p w14:paraId="000E2286" w14:textId="7111C421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Betriebsspannung:</w:t>
            </w:r>
          </w:p>
        </w:tc>
        <w:tc>
          <w:tcPr>
            <w:tcW w:w="5935" w:type="dxa"/>
          </w:tcPr>
          <w:p w14:paraId="394F241B" w14:textId="4277297F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12 V DC</w:t>
            </w:r>
          </w:p>
        </w:tc>
      </w:tr>
      <w:tr w:rsidR="00C66389" w14:paraId="6C12710C" w14:textId="77777777" w:rsidTr="008E53A7">
        <w:tc>
          <w:tcPr>
            <w:tcW w:w="3823" w:type="dxa"/>
          </w:tcPr>
          <w:p w14:paraId="382CB513" w14:textId="35B624D0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Prozessorgesteuerter Ventilator:</w:t>
            </w:r>
          </w:p>
        </w:tc>
        <w:tc>
          <w:tcPr>
            <w:tcW w:w="5935" w:type="dxa"/>
          </w:tcPr>
          <w:p w14:paraId="262B741E" w14:textId="368F732A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reversierbar, axial, feuchtebeständig</w:t>
            </w:r>
          </w:p>
        </w:tc>
      </w:tr>
      <w:tr w:rsidR="00C66389" w14:paraId="0D493368" w14:textId="77777777" w:rsidTr="008E53A7">
        <w:tc>
          <w:tcPr>
            <w:tcW w:w="3823" w:type="dxa"/>
          </w:tcPr>
          <w:p w14:paraId="1A87C482" w14:textId="312CDB4B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Luftleistung</w:t>
            </w:r>
            <w:r w:rsidR="00B72B9F">
              <w:rPr>
                <w:rFonts w:ascii="Exo 2" w:hAnsi="Exo 2"/>
                <w:sz w:val="22"/>
                <w:szCs w:val="22"/>
              </w:rPr>
              <w:t xml:space="preserve"> im WRG-Betrieb</w:t>
            </w:r>
            <w:r>
              <w:rPr>
                <w:rFonts w:ascii="Exo 2" w:hAnsi="Exo 2"/>
                <w:sz w:val="22"/>
                <w:szCs w:val="22"/>
              </w:rPr>
              <w:t>:</w:t>
            </w:r>
          </w:p>
        </w:tc>
        <w:tc>
          <w:tcPr>
            <w:tcW w:w="5935" w:type="dxa"/>
          </w:tcPr>
          <w:p w14:paraId="658A7F79" w14:textId="789E422A" w:rsidR="00C66389" w:rsidRDefault="00B55C01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17</w:t>
            </w:r>
            <w:r w:rsidR="00B72B9F">
              <w:rPr>
                <w:rFonts w:ascii="Exo 2" w:hAnsi="Exo 2"/>
                <w:sz w:val="22"/>
                <w:szCs w:val="22"/>
              </w:rPr>
              <w:t xml:space="preserve">m³/h; 21m³/h; </w:t>
            </w:r>
            <w:r>
              <w:rPr>
                <w:rFonts w:ascii="Exo 2" w:hAnsi="Exo 2"/>
                <w:sz w:val="22"/>
                <w:szCs w:val="22"/>
              </w:rPr>
              <w:t>29</w:t>
            </w:r>
            <w:r w:rsidR="00B72B9F">
              <w:rPr>
                <w:rFonts w:ascii="Exo 2" w:hAnsi="Exo 2"/>
                <w:sz w:val="22"/>
                <w:szCs w:val="22"/>
              </w:rPr>
              <w:t>m³/h;</w:t>
            </w:r>
            <w:r>
              <w:rPr>
                <w:rFonts w:ascii="Exo 2" w:hAnsi="Exo 2"/>
                <w:sz w:val="22"/>
                <w:szCs w:val="22"/>
              </w:rPr>
              <w:t xml:space="preserve"> </w:t>
            </w:r>
            <w:r w:rsidR="00B72B9F">
              <w:rPr>
                <w:rFonts w:ascii="Exo 2" w:hAnsi="Exo 2"/>
                <w:sz w:val="22"/>
                <w:szCs w:val="22"/>
              </w:rPr>
              <w:t>4</w:t>
            </w:r>
            <w:r>
              <w:rPr>
                <w:rFonts w:ascii="Exo 2" w:hAnsi="Exo 2"/>
                <w:sz w:val="22"/>
                <w:szCs w:val="22"/>
              </w:rPr>
              <w:t>1</w:t>
            </w:r>
            <w:r w:rsidR="00B72B9F">
              <w:rPr>
                <w:rFonts w:ascii="Exo 2" w:hAnsi="Exo 2"/>
                <w:sz w:val="22"/>
                <w:szCs w:val="22"/>
              </w:rPr>
              <w:t>m³/h</w:t>
            </w:r>
          </w:p>
        </w:tc>
      </w:tr>
      <w:tr w:rsidR="00C66389" w14:paraId="35C85D59" w14:textId="77777777" w:rsidTr="008E53A7">
        <w:tc>
          <w:tcPr>
            <w:tcW w:w="3823" w:type="dxa"/>
          </w:tcPr>
          <w:p w14:paraId="4C45C637" w14:textId="6CD6DB53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Leistungsaufnahme:</w:t>
            </w:r>
          </w:p>
        </w:tc>
        <w:tc>
          <w:tcPr>
            <w:tcW w:w="5935" w:type="dxa"/>
          </w:tcPr>
          <w:p w14:paraId="2BD216FB" w14:textId="7570ACF8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ab 0,2 W/(m³/h)</w:t>
            </w:r>
          </w:p>
        </w:tc>
      </w:tr>
      <w:tr w:rsidR="00C66389" w14:paraId="284334A5" w14:textId="77777777" w:rsidTr="008E53A7">
        <w:tc>
          <w:tcPr>
            <w:tcW w:w="3823" w:type="dxa"/>
          </w:tcPr>
          <w:p w14:paraId="62B1E1B7" w14:textId="647B4BE0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Messflächenschalldruckpegel:</w:t>
            </w:r>
          </w:p>
        </w:tc>
        <w:tc>
          <w:tcPr>
            <w:tcW w:w="5935" w:type="dxa"/>
          </w:tcPr>
          <w:p w14:paraId="5D2D2722" w14:textId="0C0E90E6" w:rsidR="00C66389" w:rsidRPr="00B72B9F" w:rsidRDefault="00B72B9F" w:rsidP="00776EFA">
            <w:pPr>
              <w:pStyle w:val="KeinLeerraum"/>
              <w:rPr>
                <w:rFonts w:ascii="Exo 2" w:hAnsi="Exo 2"/>
                <w:sz w:val="22"/>
                <w:szCs w:val="22"/>
                <w:lang w:val="en-GB"/>
              </w:rPr>
            </w:pPr>
            <w:r w:rsidRPr="00B72B9F">
              <w:rPr>
                <w:rFonts w:ascii="Exo 2" w:hAnsi="Exo 2"/>
                <w:sz w:val="22"/>
                <w:szCs w:val="22"/>
                <w:lang w:val="en-GB"/>
              </w:rPr>
              <w:t>~</w:t>
            </w:r>
            <w:r w:rsidR="00B55C01">
              <w:rPr>
                <w:rFonts w:ascii="Exo 2" w:hAnsi="Exo 2"/>
                <w:sz w:val="22"/>
                <w:szCs w:val="22"/>
                <w:lang w:val="en-GB"/>
              </w:rPr>
              <w:t>20,0</w:t>
            </w:r>
            <w:r w:rsidRPr="00B72B9F">
              <w:rPr>
                <w:rFonts w:ascii="Exo 2" w:hAnsi="Exo 2"/>
                <w:sz w:val="22"/>
                <w:szCs w:val="22"/>
                <w:lang w:val="en-GB"/>
              </w:rPr>
              <w:t xml:space="preserve"> dB (A)</w:t>
            </w:r>
          </w:p>
        </w:tc>
      </w:tr>
      <w:tr w:rsidR="00C66389" w:rsidRPr="00B55C01" w14:paraId="71FC2505" w14:textId="77777777" w:rsidTr="008E53A7">
        <w:tc>
          <w:tcPr>
            <w:tcW w:w="3823" w:type="dxa"/>
          </w:tcPr>
          <w:p w14:paraId="354769FF" w14:textId="176F0ACB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Normalschallpegeldifferenz:</w:t>
            </w:r>
          </w:p>
        </w:tc>
        <w:tc>
          <w:tcPr>
            <w:tcW w:w="5935" w:type="dxa"/>
          </w:tcPr>
          <w:p w14:paraId="0FBA1D21" w14:textId="3401A64F" w:rsidR="00C66389" w:rsidRDefault="00B55C01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 xml:space="preserve">bis </w:t>
            </w:r>
            <w:r w:rsidR="00B72B9F">
              <w:rPr>
                <w:rFonts w:ascii="Exo 2" w:hAnsi="Exo 2"/>
                <w:sz w:val="22"/>
                <w:szCs w:val="22"/>
              </w:rPr>
              <w:t>39</w:t>
            </w:r>
            <w:r w:rsidR="00035725">
              <w:rPr>
                <w:rFonts w:ascii="Exo 2" w:hAnsi="Exo 2"/>
                <w:sz w:val="22"/>
                <w:szCs w:val="22"/>
              </w:rPr>
              <w:t>dB</w:t>
            </w:r>
          </w:p>
        </w:tc>
      </w:tr>
      <w:tr w:rsidR="00C66389" w:rsidRPr="00B55C01" w14:paraId="54ECA273" w14:textId="77777777" w:rsidTr="008E53A7">
        <w:tc>
          <w:tcPr>
            <w:tcW w:w="3823" w:type="dxa"/>
          </w:tcPr>
          <w:p w14:paraId="71252D32" w14:textId="3B16B4A3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Innenblende</w:t>
            </w:r>
            <w:r w:rsidR="008E53A7">
              <w:rPr>
                <w:rFonts w:ascii="Exo 2" w:hAnsi="Exo 2"/>
                <w:sz w:val="22"/>
                <w:szCs w:val="22"/>
              </w:rPr>
              <w:t>(2x):</w:t>
            </w:r>
          </w:p>
        </w:tc>
        <w:tc>
          <w:tcPr>
            <w:tcW w:w="5935" w:type="dxa"/>
          </w:tcPr>
          <w:p w14:paraId="3A43C516" w14:textId="7E6A281A" w:rsidR="00C66389" w:rsidRPr="008E53A7" w:rsidRDefault="008E53A7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 w:rsidRPr="008E53A7">
              <w:rPr>
                <w:rFonts w:ascii="Exo 2" w:hAnsi="Exo 2"/>
                <w:sz w:val="22"/>
                <w:szCs w:val="22"/>
              </w:rPr>
              <w:t>v</w:t>
            </w:r>
            <w:r w:rsidR="00035725" w:rsidRPr="008E53A7">
              <w:rPr>
                <w:rFonts w:ascii="Exo 2" w:hAnsi="Exo 2"/>
                <w:sz w:val="22"/>
                <w:szCs w:val="22"/>
              </w:rPr>
              <w:t>erschließbar, mit Schallschutz, 200x200x37 mm (</w:t>
            </w:r>
            <w:proofErr w:type="spellStart"/>
            <w:r w:rsidR="00035725" w:rsidRPr="008E53A7">
              <w:rPr>
                <w:rFonts w:ascii="Exo 2" w:hAnsi="Exo 2"/>
                <w:sz w:val="22"/>
                <w:szCs w:val="22"/>
              </w:rPr>
              <w:t>BxHxT</w:t>
            </w:r>
            <w:proofErr w:type="spellEnd"/>
            <w:r w:rsidR="00035725" w:rsidRPr="008E53A7">
              <w:rPr>
                <w:rFonts w:ascii="Exo 2" w:hAnsi="Exo 2"/>
                <w:sz w:val="22"/>
                <w:szCs w:val="22"/>
              </w:rPr>
              <w:t>), weiß</w:t>
            </w:r>
          </w:p>
        </w:tc>
      </w:tr>
      <w:tr w:rsidR="00C66389" w:rsidRPr="00B55C01" w14:paraId="1A1CFE9C" w14:textId="77777777" w:rsidTr="008E53A7">
        <w:tc>
          <w:tcPr>
            <w:tcW w:w="3823" w:type="dxa"/>
          </w:tcPr>
          <w:p w14:paraId="1520FE3B" w14:textId="6D33E236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Fassadenabschluss:</w:t>
            </w:r>
          </w:p>
        </w:tc>
        <w:tc>
          <w:tcPr>
            <w:tcW w:w="5935" w:type="dxa"/>
          </w:tcPr>
          <w:p w14:paraId="2DC5D8DA" w14:textId="4948DAA5" w:rsidR="00C66389" w:rsidRDefault="00035725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Wetterschutzhaube Edelstahl, 210x</w:t>
            </w:r>
            <w:r w:rsidR="008E53A7">
              <w:rPr>
                <w:rFonts w:ascii="Exo 2" w:hAnsi="Exo 2"/>
                <w:sz w:val="22"/>
                <w:szCs w:val="22"/>
              </w:rPr>
              <w:t>440</w:t>
            </w:r>
            <w:r>
              <w:rPr>
                <w:rFonts w:ascii="Exo 2" w:hAnsi="Exo 2"/>
                <w:sz w:val="22"/>
                <w:szCs w:val="22"/>
              </w:rPr>
              <w:t>x60mm (</w:t>
            </w:r>
            <w:proofErr w:type="spellStart"/>
            <w:r>
              <w:rPr>
                <w:rFonts w:ascii="Exo 2" w:hAnsi="Exo 2"/>
                <w:sz w:val="22"/>
                <w:szCs w:val="22"/>
              </w:rPr>
              <w:t>BxHxT</w:t>
            </w:r>
            <w:proofErr w:type="spellEnd"/>
            <w:r>
              <w:rPr>
                <w:rFonts w:ascii="Exo 2" w:hAnsi="Exo 2"/>
                <w:sz w:val="22"/>
                <w:szCs w:val="22"/>
              </w:rPr>
              <w:t>), wahlweise in RAL9010 / RAL7011 / V4A blank</w:t>
            </w:r>
          </w:p>
        </w:tc>
      </w:tr>
      <w:tr w:rsidR="00C66389" w14:paraId="3E1AC909" w14:textId="77777777" w:rsidTr="008E53A7">
        <w:tc>
          <w:tcPr>
            <w:tcW w:w="3823" w:type="dxa"/>
          </w:tcPr>
          <w:p w14:paraId="65607139" w14:textId="4691045A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Wandstärke:</w:t>
            </w:r>
          </w:p>
        </w:tc>
        <w:tc>
          <w:tcPr>
            <w:tcW w:w="5935" w:type="dxa"/>
          </w:tcPr>
          <w:p w14:paraId="3FE48DA5" w14:textId="429348F3" w:rsidR="00C66389" w:rsidRDefault="00035725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ab 260mm</w:t>
            </w:r>
          </w:p>
        </w:tc>
      </w:tr>
      <w:tr w:rsidR="00C66389" w14:paraId="009FD15F" w14:textId="77777777" w:rsidTr="008E53A7">
        <w:tc>
          <w:tcPr>
            <w:tcW w:w="3823" w:type="dxa"/>
          </w:tcPr>
          <w:p w14:paraId="249F2CCC" w14:textId="55E8434B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Rohrdurchmesser</w:t>
            </w:r>
            <w:r w:rsidR="008E53A7">
              <w:rPr>
                <w:rFonts w:ascii="Exo 2" w:hAnsi="Exo 2"/>
                <w:sz w:val="22"/>
                <w:szCs w:val="22"/>
              </w:rPr>
              <w:t xml:space="preserve"> (2x)</w:t>
            </w:r>
            <w:r>
              <w:rPr>
                <w:rFonts w:ascii="Exo 2" w:hAnsi="Exo 2"/>
                <w:sz w:val="22"/>
                <w:szCs w:val="22"/>
              </w:rPr>
              <w:t>:</w:t>
            </w:r>
          </w:p>
        </w:tc>
        <w:tc>
          <w:tcPr>
            <w:tcW w:w="5935" w:type="dxa"/>
          </w:tcPr>
          <w:p w14:paraId="09864F60" w14:textId="5EE2CE11" w:rsidR="00C66389" w:rsidRDefault="00035725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160mm</w:t>
            </w:r>
          </w:p>
        </w:tc>
      </w:tr>
      <w:tr w:rsidR="00C66389" w14:paraId="3CAE0B8E" w14:textId="77777777" w:rsidTr="008E53A7">
        <w:tc>
          <w:tcPr>
            <w:tcW w:w="3823" w:type="dxa"/>
          </w:tcPr>
          <w:p w14:paraId="0E2FE588" w14:textId="3ACE226D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Durchmesser der Kernbohrung</w:t>
            </w:r>
            <w:r w:rsidR="008E53A7">
              <w:rPr>
                <w:rFonts w:ascii="Exo 2" w:hAnsi="Exo 2"/>
                <w:sz w:val="22"/>
                <w:szCs w:val="22"/>
              </w:rPr>
              <w:t xml:space="preserve"> (2x)</w:t>
            </w:r>
            <w:r>
              <w:rPr>
                <w:rFonts w:ascii="Exo 2" w:hAnsi="Exo 2"/>
                <w:sz w:val="22"/>
                <w:szCs w:val="22"/>
              </w:rPr>
              <w:t>:</w:t>
            </w:r>
          </w:p>
        </w:tc>
        <w:tc>
          <w:tcPr>
            <w:tcW w:w="5935" w:type="dxa"/>
          </w:tcPr>
          <w:p w14:paraId="5E8558D7" w14:textId="64C658CC" w:rsidR="00C66389" w:rsidRDefault="00035725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165mm &gt; 170mm</w:t>
            </w:r>
          </w:p>
        </w:tc>
      </w:tr>
      <w:tr w:rsidR="00C66389" w14:paraId="45DA6EB5" w14:textId="77777777" w:rsidTr="008E53A7">
        <w:tc>
          <w:tcPr>
            <w:tcW w:w="3823" w:type="dxa"/>
          </w:tcPr>
          <w:p w14:paraId="7BFE27D7" w14:textId="145D7C4E" w:rsidR="00C66389" w:rsidRDefault="00C66389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Fixrohrlänge</w:t>
            </w:r>
            <w:r w:rsidR="008E53A7">
              <w:rPr>
                <w:rFonts w:ascii="Exo 2" w:hAnsi="Exo 2"/>
                <w:sz w:val="22"/>
                <w:szCs w:val="22"/>
              </w:rPr>
              <w:t xml:space="preserve"> (2x)</w:t>
            </w:r>
            <w:r>
              <w:rPr>
                <w:rFonts w:ascii="Exo 2" w:hAnsi="Exo 2"/>
                <w:sz w:val="22"/>
                <w:szCs w:val="22"/>
              </w:rPr>
              <w:t>:</w:t>
            </w:r>
          </w:p>
        </w:tc>
        <w:tc>
          <w:tcPr>
            <w:tcW w:w="5935" w:type="dxa"/>
          </w:tcPr>
          <w:p w14:paraId="604B5A77" w14:textId="2B893D08" w:rsidR="00C66389" w:rsidRDefault="00035725" w:rsidP="00776EFA">
            <w:pPr>
              <w:pStyle w:val="KeinLeerraum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480mm; 650mm; 850mm</w:t>
            </w:r>
          </w:p>
        </w:tc>
      </w:tr>
    </w:tbl>
    <w:p w14:paraId="4FA95758" w14:textId="6151E3C0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0CCC48A1" w14:textId="4E2B0172" w:rsidR="00C66389" w:rsidRDefault="00035725" w:rsidP="00776EFA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Fabrikat: Luftunion GmbH</w:t>
      </w:r>
    </w:p>
    <w:p w14:paraId="0611D1A7" w14:textId="285ACC95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6D82C50C" w14:textId="77777777" w:rsidR="00972B20" w:rsidRDefault="00035725" w:rsidP="00972B20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 xml:space="preserve">Typ: </w:t>
      </w:r>
      <w:r w:rsidRPr="00035725">
        <w:rPr>
          <w:rFonts w:ascii="Exo 2" w:hAnsi="Exo 2"/>
          <w:b/>
          <w:bCs/>
          <w:sz w:val="22"/>
          <w:szCs w:val="22"/>
        </w:rPr>
        <w:t xml:space="preserve">LU160 </w:t>
      </w:r>
      <w:r w:rsidR="008E53A7">
        <w:rPr>
          <w:rFonts w:ascii="Exo 2" w:hAnsi="Exo 2"/>
          <w:b/>
          <w:bCs/>
          <w:sz w:val="22"/>
          <w:szCs w:val="22"/>
        </w:rPr>
        <w:t>Dual</w:t>
      </w:r>
    </w:p>
    <w:p w14:paraId="6C87232E" w14:textId="77777777" w:rsidR="00972B20" w:rsidRDefault="00972B20" w:rsidP="00972B20">
      <w:pPr>
        <w:pStyle w:val="KeinLeerraum"/>
        <w:rPr>
          <w:rFonts w:ascii="Exo 2" w:hAnsi="Exo 2"/>
          <w:sz w:val="22"/>
          <w:szCs w:val="22"/>
        </w:rPr>
      </w:pPr>
    </w:p>
    <w:p w14:paraId="175D8C2E" w14:textId="04AAA450" w:rsidR="00972B20" w:rsidRDefault="00972B20" w:rsidP="00972B20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 (Länge 480/650/850mm):</w:t>
      </w:r>
      <w:r>
        <w:rPr>
          <w:rFonts w:ascii="Exo 2" w:hAnsi="Exo 2"/>
          <w:sz w:val="22"/>
          <w:szCs w:val="22"/>
        </w:rPr>
        <w:tab/>
        <w:t>LU160-</w:t>
      </w:r>
      <w:r>
        <w:rPr>
          <w:rFonts w:ascii="Exo 2" w:hAnsi="Exo 2"/>
          <w:sz w:val="22"/>
          <w:szCs w:val="22"/>
        </w:rPr>
        <w:t>D</w:t>
      </w:r>
      <w:r>
        <w:rPr>
          <w:rFonts w:ascii="Exo 2" w:hAnsi="Exo 2"/>
          <w:sz w:val="22"/>
          <w:szCs w:val="22"/>
        </w:rPr>
        <w:t>-480/650/850</w:t>
      </w:r>
    </w:p>
    <w:p w14:paraId="7AD78CE9" w14:textId="1E6AB241" w:rsidR="00972B20" w:rsidRDefault="00972B20" w:rsidP="00972B20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Vorbereitungsset (Länge 480/650/850mm):</w:t>
      </w:r>
      <w:r>
        <w:rPr>
          <w:rFonts w:ascii="Exo 2" w:hAnsi="Exo 2"/>
          <w:sz w:val="22"/>
          <w:szCs w:val="22"/>
        </w:rPr>
        <w:tab/>
        <w:t>LU160-</w:t>
      </w:r>
      <w:r>
        <w:rPr>
          <w:rFonts w:ascii="Exo 2" w:hAnsi="Exo 2"/>
          <w:sz w:val="22"/>
          <w:szCs w:val="22"/>
        </w:rPr>
        <w:t>D</w:t>
      </w:r>
      <w:r>
        <w:rPr>
          <w:rFonts w:ascii="Exo 2" w:hAnsi="Exo 2"/>
          <w:sz w:val="22"/>
          <w:szCs w:val="22"/>
        </w:rPr>
        <w:t>-VS-480/650/850</w:t>
      </w:r>
    </w:p>
    <w:p w14:paraId="3A45BC6F" w14:textId="403224BB" w:rsidR="00972B20" w:rsidRDefault="00972B20" w:rsidP="00972B20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LU160-</w:t>
      </w:r>
      <w:r>
        <w:rPr>
          <w:rFonts w:ascii="Exo 2" w:hAnsi="Exo 2"/>
          <w:sz w:val="22"/>
          <w:szCs w:val="22"/>
        </w:rPr>
        <w:t>D</w:t>
      </w:r>
      <w:r>
        <w:rPr>
          <w:rFonts w:ascii="Exo 2" w:hAnsi="Exo 2"/>
          <w:sz w:val="22"/>
          <w:szCs w:val="22"/>
        </w:rPr>
        <w:t>-FS</w:t>
      </w:r>
    </w:p>
    <w:p w14:paraId="205AB67C" w14:textId="77777777" w:rsidR="00972B20" w:rsidRDefault="00972B20" w:rsidP="00972B20">
      <w:pPr>
        <w:pStyle w:val="KeinLeerraum"/>
        <w:rPr>
          <w:rFonts w:ascii="Exo 2" w:hAnsi="Exo 2"/>
          <w:sz w:val="22"/>
          <w:szCs w:val="22"/>
        </w:rPr>
      </w:pPr>
    </w:p>
    <w:p w14:paraId="53176373" w14:textId="77777777" w:rsidR="00972B20" w:rsidRDefault="00972B20" w:rsidP="00972B20">
      <w:pPr>
        <w:pStyle w:val="KeinLeerraum"/>
        <w:rPr>
          <w:rFonts w:ascii="Exo 2" w:hAnsi="Exo 2"/>
          <w:sz w:val="22"/>
          <w:szCs w:val="22"/>
        </w:rPr>
      </w:pPr>
    </w:p>
    <w:p w14:paraId="434F19A7" w14:textId="77777777" w:rsidR="00972B20" w:rsidRDefault="00972B20" w:rsidP="00972B20">
      <w:pPr>
        <w:pStyle w:val="KeinLeerraum"/>
        <w:rPr>
          <w:rFonts w:ascii="Exo 2" w:hAnsi="Exo 2"/>
          <w:sz w:val="22"/>
          <w:szCs w:val="22"/>
        </w:rPr>
      </w:pPr>
    </w:p>
    <w:p w14:paraId="52D3DCA7" w14:textId="1402AF99" w:rsidR="00972B20" w:rsidRPr="00776EFA" w:rsidRDefault="00972B20" w:rsidP="00776EFA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</w:t>
      </w:r>
      <w:proofErr w:type="spellStart"/>
      <w:r>
        <w:rPr>
          <w:rFonts w:ascii="Exo 2" w:hAnsi="Exo 2"/>
          <w:sz w:val="22"/>
          <w:szCs w:val="22"/>
        </w:rPr>
        <w:t>Stk</w:t>
      </w:r>
      <w:proofErr w:type="spellEnd"/>
      <w:r>
        <w:rPr>
          <w:rFonts w:ascii="Exo 2" w:hAnsi="Exo 2"/>
          <w:sz w:val="22"/>
          <w:szCs w:val="22"/>
        </w:rPr>
        <w:t>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72B20" w:rsidRPr="00776EFA" w:rsidSect="009104F8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9BAD" w14:textId="77777777" w:rsidR="001001CE" w:rsidRDefault="001001CE" w:rsidP="001B6675">
      <w:pPr>
        <w:spacing w:after="0" w:line="240" w:lineRule="auto"/>
      </w:pPr>
      <w:r>
        <w:separator/>
      </w:r>
    </w:p>
  </w:endnote>
  <w:endnote w:type="continuationSeparator" w:id="0">
    <w:p w14:paraId="3AA2A1D0" w14:textId="77777777" w:rsidR="001001CE" w:rsidRDefault="001001CE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353F2" w14:textId="77777777" w:rsidR="00B55C01" w:rsidRDefault="00B55C01" w:rsidP="00B55C01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24660B" wp14:editId="686B8165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15DB68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5008353E" w14:textId="77777777" w:rsidR="00B55C01" w:rsidRDefault="00B55C01" w:rsidP="00B55C01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65EF6C8E" w14:textId="77777777" w:rsidR="00B55C01" w:rsidRPr="00B70EF8" w:rsidRDefault="00B55C01" w:rsidP="00B55C01">
    <w:pPr>
      <w:pStyle w:val="Kopfzeile"/>
      <w:jc w:val="center"/>
      <w:rPr>
        <w:lang w:val="de-DE"/>
      </w:rPr>
    </w:pPr>
    <w:r>
      <w:rPr>
        <w:lang w:val="de-DE"/>
      </w:rPr>
      <w:t xml:space="preserve">Keine Haftung für Druckfehler. Copyright </w:t>
    </w:r>
    <w:proofErr w:type="spellStart"/>
    <w:r>
      <w:rPr>
        <w:lang w:val="de-DE"/>
      </w:rPr>
      <w:t>by</w:t>
    </w:r>
    <w:proofErr w:type="spellEnd"/>
    <w:r>
      <w:rPr>
        <w:lang w:val="de-DE"/>
      </w:rPr>
      <w:t xml:space="preserve"> Luftunion GmbH</w:t>
    </w:r>
  </w:p>
  <w:p w14:paraId="3A9A20B7" w14:textId="4B7D00C5" w:rsidR="001B6675" w:rsidRPr="00B55C01" w:rsidRDefault="001B6675" w:rsidP="00B55C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4CBC8" w14:textId="77777777" w:rsidR="001001CE" w:rsidRDefault="001001CE" w:rsidP="001B6675">
      <w:pPr>
        <w:spacing w:after="0" w:line="240" w:lineRule="auto"/>
      </w:pPr>
      <w:r>
        <w:separator/>
      </w:r>
    </w:p>
  </w:footnote>
  <w:footnote w:type="continuationSeparator" w:id="0">
    <w:p w14:paraId="1F31EFE8" w14:textId="77777777" w:rsidR="001001CE" w:rsidRDefault="001001CE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3AB8" w14:textId="50446B8E" w:rsidR="00B55C01" w:rsidRDefault="00B55C01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BDEFA21" wp14:editId="622F1F63">
          <wp:simplePos x="0" y="0"/>
          <wp:positionH relativeFrom="column">
            <wp:posOffset>5057775</wp:posOffset>
          </wp:positionH>
          <wp:positionV relativeFrom="paragraph">
            <wp:posOffset>-154940</wp:posOffset>
          </wp:positionV>
          <wp:extent cx="1137285" cy="325755"/>
          <wp:effectExtent l="0" t="0" r="5715" b="0"/>
          <wp:wrapThrough wrapText="bothSides">
            <wp:wrapPolygon edited="0">
              <wp:start x="0" y="0"/>
              <wp:lineTo x="0" y="20211"/>
              <wp:lineTo x="21347" y="20211"/>
              <wp:lineTo x="21347" y="0"/>
              <wp:lineTo x="0" y="0"/>
            </wp:wrapPolygon>
          </wp:wrapThrough>
          <wp:docPr id="148234763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5725"/>
    <w:rsid w:val="001001CE"/>
    <w:rsid w:val="001352E9"/>
    <w:rsid w:val="00182FB2"/>
    <w:rsid w:val="00183A5D"/>
    <w:rsid w:val="001B6675"/>
    <w:rsid w:val="00776EFA"/>
    <w:rsid w:val="007B33D5"/>
    <w:rsid w:val="00873C53"/>
    <w:rsid w:val="008E53A7"/>
    <w:rsid w:val="009104F8"/>
    <w:rsid w:val="00972B20"/>
    <w:rsid w:val="00973DD8"/>
    <w:rsid w:val="00B55C01"/>
    <w:rsid w:val="00B72B9F"/>
    <w:rsid w:val="00C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6</cp:revision>
  <dcterms:created xsi:type="dcterms:W3CDTF">2024-03-20T07:50:00Z</dcterms:created>
  <dcterms:modified xsi:type="dcterms:W3CDTF">2024-06-17T10:40:00Z</dcterms:modified>
</cp:coreProperties>
</file>